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5969" w14:textId="77777777" w:rsidR="008B50CA" w:rsidRDefault="008B50CA">
      <w:pPr>
        <w:pStyle w:val="Absender"/>
        <w:pageBreakBefore/>
        <w:spacing w:after="960"/>
        <w:rPr>
          <w:rFonts w:ascii="Arial" w:eastAsia="Times" w:hAnsi="Arial" w:cs="Arial"/>
        </w:rPr>
      </w:pPr>
      <w:r>
        <w:br/>
      </w:r>
      <w:r>
        <w:br/>
      </w:r>
    </w:p>
    <w:p w14:paraId="6F3A103A" w14:textId="4D0098EB" w:rsidR="00DD7849" w:rsidRPr="00DD7849" w:rsidRDefault="00DD7849" w:rsidP="00DD7849">
      <w:pPr>
        <w:spacing w:before="170"/>
        <w:rPr>
          <w:rFonts w:ascii="Arial" w:hAnsi="Arial" w:cs="Arial"/>
          <w:color w:val="000000"/>
          <w:shd w:val="clear" w:color="auto" w:fill="FFFFFF"/>
          <w:lang w:val="en-US"/>
        </w:rPr>
      </w:pPr>
      <w:r w:rsidRPr="004D63DB">
        <w:rPr>
          <w:rFonts w:ascii="Arial" w:hAnsi="Arial" w:cs="Arial"/>
          <w:color w:val="000000"/>
          <w:shd w:val="clear" w:color="auto" w:fill="FFFFFF"/>
          <w:lang w:val="en-US"/>
        </w:rPr>
        <w:t>Reda Manthovani</w:t>
      </w:r>
      <w:r>
        <w:rPr>
          <w:rFonts w:ascii="Arial" w:hAnsi="Arial" w:cs="Arial"/>
          <w:color w:val="000000"/>
          <w:shd w:val="clear" w:color="auto" w:fill="FFFFFF"/>
          <w:lang w:val="en-US"/>
        </w:rPr>
        <w:br/>
      </w:r>
      <w:r w:rsidRPr="004D63DB">
        <w:rPr>
          <w:rFonts w:ascii="Arial" w:hAnsi="Arial" w:cs="Arial"/>
          <w:color w:val="000000"/>
          <w:shd w:val="clear" w:color="auto" w:fill="FFFFFF"/>
          <w:lang w:val="en-US"/>
        </w:rPr>
        <w:t>Chief of DKI Jakarta Attorney General’s Office</w:t>
      </w:r>
      <w:r>
        <w:rPr>
          <w:rFonts w:ascii="Arial" w:hAnsi="Arial" w:cs="Arial"/>
          <w:color w:val="000000"/>
          <w:shd w:val="clear" w:color="auto" w:fill="FFFFFF"/>
          <w:lang w:val="en-US"/>
        </w:rPr>
        <w:br/>
      </w:r>
      <w:r w:rsidRPr="004D63DB">
        <w:rPr>
          <w:rFonts w:ascii="Arial" w:hAnsi="Arial" w:cs="Arial"/>
          <w:color w:val="000000"/>
          <w:shd w:val="clear" w:color="auto" w:fill="FFFFFF"/>
          <w:lang w:val="en-US"/>
        </w:rPr>
        <w:t>Jl. H. R. Rasuna Said No.2, Jakarta Selatan</w:t>
      </w:r>
      <w:r>
        <w:rPr>
          <w:rFonts w:ascii="Arial" w:hAnsi="Arial" w:cs="Arial"/>
          <w:color w:val="000000"/>
          <w:shd w:val="clear" w:color="auto" w:fill="FFFFFF"/>
          <w:lang w:val="en-US"/>
        </w:rPr>
        <w:br/>
      </w:r>
      <w:r w:rsidRPr="00DD7849">
        <w:rPr>
          <w:rFonts w:ascii="Arial" w:hAnsi="Arial" w:cs="Arial"/>
          <w:color w:val="000000"/>
          <w:shd w:val="clear" w:color="auto" w:fill="FFFFFF"/>
          <w:lang w:val="en-US"/>
        </w:rPr>
        <w:t>DKI Jakarta 12950</w:t>
      </w:r>
      <w:r w:rsidRPr="00DD7849">
        <w:rPr>
          <w:rFonts w:ascii="Arial" w:hAnsi="Arial" w:cs="Arial"/>
          <w:color w:val="000000"/>
          <w:shd w:val="clear" w:color="auto" w:fill="FFFFFF"/>
          <w:lang w:val="en-US"/>
        </w:rPr>
        <w:br/>
        <w:t>INDONESIEN</w:t>
      </w:r>
    </w:p>
    <w:p w14:paraId="3A26DFD0" w14:textId="77777777" w:rsidR="008B50CA" w:rsidRPr="00DD7849" w:rsidRDefault="008B50CA">
      <w:pPr>
        <w:spacing w:before="100" w:after="100"/>
        <w:rPr>
          <w:rFonts w:ascii="Arial" w:eastAsia="Times" w:hAnsi="Arial" w:cs="Arial"/>
          <w:lang w:val="en-US"/>
        </w:rPr>
      </w:pPr>
    </w:p>
    <w:p w14:paraId="0064F6F3" w14:textId="77777777" w:rsidR="008B50CA" w:rsidRPr="00DD7849" w:rsidRDefault="008B50CA">
      <w:pPr>
        <w:spacing w:before="100" w:after="100"/>
        <w:rPr>
          <w:rFonts w:ascii="Arial" w:eastAsia="Times" w:hAnsi="Arial" w:cs="Arial"/>
          <w:lang w:val="en-US"/>
        </w:rPr>
      </w:pPr>
    </w:p>
    <w:p w14:paraId="3DEF6B5F" w14:textId="77777777" w:rsidR="00BD4863" w:rsidRPr="00400F27" w:rsidRDefault="00BD4863" w:rsidP="00BD4863">
      <w:pPr>
        <w:spacing w:before="170"/>
        <w:rPr>
          <w:rFonts w:ascii="Arial" w:hAnsi="Arial" w:cs="Arial"/>
          <w:lang/>
        </w:rPr>
      </w:pPr>
      <w:r w:rsidRPr="00400F27">
        <w:rPr>
          <w:rFonts w:ascii="Arial" w:hAnsi="Arial" w:cs="Arial"/>
          <w:lang/>
        </w:rPr>
        <w:t>Sehr geehrter Herr Manthovani!</w:t>
      </w:r>
    </w:p>
    <w:p w14:paraId="24F6E312" w14:textId="77777777" w:rsidR="00BD4863" w:rsidRDefault="00BD4863" w:rsidP="00BD4863">
      <w:pPr>
        <w:spacing w:before="17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Den </w:t>
      </w:r>
      <w:r w:rsidRPr="00400F27">
        <w:rPr>
          <w:rFonts w:ascii="Arial" w:hAnsi="Arial" w:cs="Arial"/>
          <w:lang/>
        </w:rPr>
        <w:t>Menschenrechtsverteidiger*innen</w:t>
      </w:r>
      <w:r>
        <w:rPr>
          <w:rFonts w:ascii="Arial" w:hAnsi="Arial" w:cs="Arial"/>
          <w:lang/>
        </w:rPr>
        <w:t xml:space="preserve"> </w:t>
      </w:r>
      <w:r w:rsidRPr="00400F27">
        <w:rPr>
          <w:rFonts w:ascii="Arial" w:hAnsi="Arial" w:cs="Arial"/>
          <w:lang/>
        </w:rPr>
        <w:t xml:space="preserve">Fatia Maulidiyanti und Haris Azhar </w:t>
      </w:r>
      <w:r>
        <w:rPr>
          <w:rFonts w:ascii="Arial" w:hAnsi="Arial" w:cs="Arial"/>
          <w:lang/>
        </w:rPr>
        <w:t xml:space="preserve">drohen </w:t>
      </w:r>
      <w:r w:rsidRPr="00400F27">
        <w:rPr>
          <w:rFonts w:ascii="Arial" w:hAnsi="Arial" w:cs="Arial"/>
          <w:lang/>
        </w:rPr>
        <w:t>vier Jahre Haft, weil sie ihr Recht auf freie Meinungsäußerung wahrgenommen haben.</w:t>
      </w:r>
    </w:p>
    <w:p w14:paraId="2E71EEED" w14:textId="77777777" w:rsidR="00BD4863" w:rsidRDefault="00BD4863" w:rsidP="00BD4863">
      <w:pPr>
        <w:spacing w:before="170"/>
        <w:rPr>
          <w:rFonts w:ascii="Arial" w:hAnsi="Arial" w:cs="Arial"/>
          <w:lang/>
        </w:rPr>
      </w:pPr>
      <w:r w:rsidRPr="00400F27">
        <w:rPr>
          <w:rFonts w:ascii="Arial" w:hAnsi="Arial" w:cs="Arial"/>
          <w:lang/>
        </w:rPr>
        <w:t xml:space="preserve">Am 20. August 2021 lud Haris Azhar ein Video auf seinen YouTube-Kanal hoch, in dem Fatia Maulidiyanti als Gastrednerin auftrat. </w:t>
      </w:r>
      <w:r w:rsidRPr="00D02368">
        <w:rPr>
          <w:rFonts w:ascii="Arial" w:hAnsi="Arial" w:cs="Arial"/>
          <w:lang w:val="en-US"/>
        </w:rPr>
        <w:t xml:space="preserve">In dem Video präsentierte Fatia Maulidiyanti die Ergebnisse des Berichts „A Political Economy Study of Military Placement in Papua: The Case of Intan Jaya“. </w:t>
      </w:r>
      <w:r w:rsidRPr="00400F27">
        <w:rPr>
          <w:rFonts w:ascii="Arial" w:hAnsi="Arial" w:cs="Arial"/>
          <w:lang/>
        </w:rPr>
        <w:t>Der Bericht deutet</w:t>
      </w:r>
      <w:r>
        <w:rPr>
          <w:rFonts w:ascii="Arial" w:hAnsi="Arial" w:cs="Arial"/>
          <w:lang/>
        </w:rPr>
        <w:t xml:space="preserve">e </w:t>
      </w:r>
      <w:r w:rsidRPr="00400F27">
        <w:rPr>
          <w:rFonts w:ascii="Arial" w:hAnsi="Arial" w:cs="Arial"/>
          <w:lang/>
        </w:rPr>
        <w:t xml:space="preserve">auf einen Zusammenhang zwischen den Konzessionen, </w:t>
      </w:r>
      <w:r>
        <w:rPr>
          <w:rFonts w:ascii="Arial" w:hAnsi="Arial" w:cs="Arial"/>
          <w:lang/>
        </w:rPr>
        <w:t>welche</w:t>
      </w:r>
      <w:r w:rsidRPr="00400F27">
        <w:rPr>
          <w:rFonts w:ascii="Arial" w:hAnsi="Arial" w:cs="Arial"/>
          <w:lang/>
        </w:rPr>
        <w:t xml:space="preserve"> die indonesische Regierung einigen Unternehmen</w:t>
      </w:r>
      <w:r>
        <w:rPr>
          <w:rFonts w:ascii="Arial" w:hAnsi="Arial" w:cs="Arial"/>
          <w:lang/>
        </w:rPr>
        <w:t xml:space="preserve"> für die Goldmine</w:t>
      </w:r>
      <w:r w:rsidRPr="00400F27">
        <w:rPr>
          <w:rFonts w:ascii="Arial" w:hAnsi="Arial" w:cs="Arial"/>
          <w:lang/>
        </w:rPr>
        <w:t xml:space="preserve"> erteilt hat, und dem rechtswidrigen Einsatz des Militärs in Papua hin.</w:t>
      </w:r>
    </w:p>
    <w:p w14:paraId="63E7B537" w14:textId="77777777" w:rsidR="00BD4863" w:rsidRPr="00400F27" w:rsidRDefault="00BD4863" w:rsidP="00BD4863">
      <w:pPr>
        <w:spacing w:before="170"/>
        <w:rPr>
          <w:rFonts w:ascii="Arial" w:hAnsi="Arial" w:cs="Arial"/>
          <w:lang/>
        </w:rPr>
      </w:pPr>
      <w:r w:rsidRPr="00400F27">
        <w:rPr>
          <w:rFonts w:ascii="Arial" w:hAnsi="Arial" w:cs="Arial"/>
          <w:lang/>
        </w:rPr>
        <w:t>Am 17. März 2022 wurden Fatia Maulidiyanti und Haris Azhar der Verleumdung beschuldigt und gemäß Artikel 27 Absatz 3 des Gesetzes über elektronische Informationen und Transaktionen (ITE) angeklagt.</w:t>
      </w:r>
      <w:r>
        <w:rPr>
          <w:rFonts w:ascii="Arial" w:hAnsi="Arial" w:cs="Arial"/>
          <w:lang/>
        </w:rPr>
        <w:t xml:space="preserve"> </w:t>
      </w:r>
      <w:r w:rsidRPr="00400F27">
        <w:rPr>
          <w:rFonts w:ascii="Arial" w:hAnsi="Arial" w:cs="Arial"/>
          <w:lang/>
        </w:rPr>
        <w:t xml:space="preserve">Am 6. März 2023 schloss die Polizei von Jakarta ihre Ermittlungen ab und übergab sie </w:t>
      </w:r>
      <w:r>
        <w:rPr>
          <w:rFonts w:ascii="Arial" w:hAnsi="Arial" w:cs="Arial"/>
          <w:lang/>
        </w:rPr>
        <w:t>dem</w:t>
      </w:r>
      <w:r w:rsidRPr="00400F27">
        <w:rPr>
          <w:rFonts w:ascii="Arial" w:hAnsi="Arial" w:cs="Arial"/>
          <w:lang/>
        </w:rPr>
        <w:t xml:space="preserve"> Bezirksgericht von Ost-Jakarta, </w:t>
      </w:r>
      <w:r>
        <w:rPr>
          <w:rFonts w:ascii="Arial" w:hAnsi="Arial" w:cs="Arial"/>
          <w:lang/>
        </w:rPr>
        <w:t>das</w:t>
      </w:r>
      <w:r w:rsidRPr="00400F27">
        <w:rPr>
          <w:rFonts w:ascii="Arial" w:hAnsi="Arial" w:cs="Arial"/>
          <w:lang/>
        </w:rPr>
        <w:t xml:space="preserve"> der Generalstaatsanwaltschaft von Jakarta unterstellt ist.</w:t>
      </w:r>
    </w:p>
    <w:p w14:paraId="4B1FE4E2" w14:textId="77777777" w:rsidR="00BD4863" w:rsidRPr="00400F27" w:rsidRDefault="00BD4863" w:rsidP="00BD4863">
      <w:pPr>
        <w:spacing w:before="17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Ich</w:t>
      </w:r>
      <w:r w:rsidRPr="00400F27">
        <w:rPr>
          <w:rFonts w:ascii="Arial" w:hAnsi="Arial" w:cs="Arial"/>
          <w:lang/>
        </w:rPr>
        <w:t xml:space="preserve"> fordere Sie auf, die Anklage gegen Fatia Maulidiyanti und Haris Azhar</w:t>
      </w:r>
      <w:r>
        <w:rPr>
          <w:rFonts w:ascii="Arial" w:hAnsi="Arial" w:cs="Arial"/>
          <w:lang/>
        </w:rPr>
        <w:t xml:space="preserve"> unverzüglich</w:t>
      </w:r>
      <w:r w:rsidRPr="00400F27">
        <w:rPr>
          <w:rFonts w:ascii="Arial" w:hAnsi="Arial" w:cs="Arial"/>
          <w:lang/>
        </w:rPr>
        <w:t xml:space="preserve"> fallen zu lassen und die Ermittlungen gegen </w:t>
      </w:r>
      <w:r>
        <w:rPr>
          <w:rFonts w:ascii="Arial" w:hAnsi="Arial" w:cs="Arial"/>
          <w:lang/>
        </w:rPr>
        <w:t xml:space="preserve">die </w:t>
      </w:r>
      <w:r w:rsidRPr="00400F27">
        <w:rPr>
          <w:rFonts w:ascii="Arial" w:hAnsi="Arial" w:cs="Arial"/>
          <w:lang/>
        </w:rPr>
        <w:t>Menschenrechtsverteidiger</w:t>
      </w:r>
      <w:r>
        <w:rPr>
          <w:rFonts w:ascii="Arial" w:hAnsi="Arial" w:cs="Arial"/>
          <w:lang/>
        </w:rPr>
        <w:t>*innen</w:t>
      </w:r>
      <w:r w:rsidRPr="00400F27">
        <w:rPr>
          <w:rFonts w:ascii="Arial" w:hAnsi="Arial" w:cs="Arial"/>
          <w:lang/>
        </w:rPr>
        <w:t xml:space="preserve"> einzustellen.</w:t>
      </w:r>
    </w:p>
    <w:p w14:paraId="219C8D24" w14:textId="77777777" w:rsidR="00BD4863" w:rsidRPr="00400F27" w:rsidRDefault="00BD4863" w:rsidP="00BD4863">
      <w:pPr>
        <w:spacing w:before="17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Hochachtungsvoll,</w:t>
      </w:r>
    </w:p>
    <w:p w14:paraId="3F283941" w14:textId="0F94DEBA" w:rsidR="006B3988" w:rsidRPr="006B3988" w:rsidRDefault="006B3988" w:rsidP="00BD4863">
      <w:pPr>
        <w:spacing w:before="170"/>
        <w:rPr>
          <w:rFonts w:ascii="Arial" w:hAnsi="Arial" w:cs="Arial"/>
          <w:sz w:val="22"/>
          <w:szCs w:val="22"/>
          <w:lang w:val="en-GB"/>
        </w:rPr>
      </w:pPr>
    </w:p>
    <w:sectPr w:rsidR="006B3988" w:rsidRPr="006B3988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AA15BCA"/>
    <w:multiLevelType w:val="hybridMultilevel"/>
    <w:tmpl w:val="4330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979"/>
    <w:multiLevelType w:val="multilevel"/>
    <w:tmpl w:val="B57C0F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5ECB6C5E"/>
    <w:multiLevelType w:val="hybridMultilevel"/>
    <w:tmpl w:val="38904472"/>
    <w:lvl w:ilvl="0" w:tplc="FE62A2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28444">
    <w:abstractNumId w:val="0"/>
  </w:num>
  <w:num w:numId="2" w16cid:durableId="613556315">
    <w:abstractNumId w:val="1"/>
  </w:num>
  <w:num w:numId="3" w16cid:durableId="147787238">
    <w:abstractNumId w:val="2"/>
  </w:num>
  <w:num w:numId="4" w16cid:durableId="1673140104">
    <w:abstractNumId w:val="4"/>
  </w:num>
  <w:num w:numId="5" w16cid:durableId="1957058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9A"/>
    <w:rsid w:val="000177AC"/>
    <w:rsid w:val="000B6FC7"/>
    <w:rsid w:val="00113411"/>
    <w:rsid w:val="00127F45"/>
    <w:rsid w:val="001669E3"/>
    <w:rsid w:val="003A7BA1"/>
    <w:rsid w:val="003D3748"/>
    <w:rsid w:val="00454BC2"/>
    <w:rsid w:val="004B11AE"/>
    <w:rsid w:val="0050704B"/>
    <w:rsid w:val="0058330A"/>
    <w:rsid w:val="006B3988"/>
    <w:rsid w:val="007028BA"/>
    <w:rsid w:val="007177BD"/>
    <w:rsid w:val="0075480B"/>
    <w:rsid w:val="008A2920"/>
    <w:rsid w:val="008B50CA"/>
    <w:rsid w:val="00956870"/>
    <w:rsid w:val="00986F47"/>
    <w:rsid w:val="00A50736"/>
    <w:rsid w:val="00AE5A9A"/>
    <w:rsid w:val="00B16946"/>
    <w:rsid w:val="00B40CCF"/>
    <w:rsid w:val="00BD4863"/>
    <w:rsid w:val="00C44AF1"/>
    <w:rsid w:val="00C74D63"/>
    <w:rsid w:val="00CC4579"/>
    <w:rsid w:val="00CD0B9A"/>
    <w:rsid w:val="00DD7849"/>
    <w:rsid w:val="00E903D0"/>
    <w:rsid w:val="00F3574D"/>
    <w:rsid w:val="00FD2C38"/>
    <w:rsid w:val="00FD543D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7ADB407"/>
  <w14:defaultImageDpi w14:val="300"/>
  <w15:chartTrackingRefBased/>
  <w15:docId w15:val="{89440CE5-999D-F944-870E-60C2AD9B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Absatz"/>
    <w:qFormat/>
    <w:pPr>
      <w:keepNext/>
      <w:pageBreakBefore/>
      <w:numPr>
        <w:numId w:val="2"/>
      </w:numPr>
      <w:spacing w:before="240" w:after="280"/>
      <w:jc w:val="center"/>
      <w:outlineLvl w:val="0"/>
    </w:pPr>
  </w:style>
  <w:style w:type="paragraph" w:styleId="berschrift2">
    <w:name w:val="heading 2"/>
    <w:basedOn w:val="Standard"/>
    <w:next w:val="Absatz"/>
    <w:qFormat/>
    <w:pPr>
      <w:keepNext/>
      <w:numPr>
        <w:ilvl w:val="1"/>
        <w:numId w:val="2"/>
      </w:numPr>
      <w:spacing w:before="100" w:after="120"/>
      <w:outlineLvl w:val="1"/>
    </w:pPr>
    <w:rPr>
      <w:b/>
    </w:rPr>
  </w:style>
  <w:style w:type="paragraph" w:styleId="berschrift3">
    <w:name w:val="heading 3"/>
    <w:basedOn w:val="Standard"/>
    <w:next w:val="Absatz"/>
    <w:qFormat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Absatzstandardschriftart1">
    <w:name w:val="Absatzstandardschriftart1"/>
  </w:style>
  <w:style w:type="character" w:customStyle="1" w:styleId="AbsatzZchn">
    <w:name w:val="Absatz Zchn"/>
  </w:style>
  <w:style w:type="character" w:styleId="Hyperlink">
    <w:name w:val="Hyperlink"/>
  </w:style>
  <w:style w:type="character" w:customStyle="1" w:styleId="cloak">
    <w:name w:val="cloak"/>
    <w:basedOn w:val="Absatzstandardschriftart1"/>
  </w:style>
  <w:style w:type="character" w:customStyle="1" w:styleId="Bullets">
    <w:name w:val="Bullets"/>
  </w:style>
  <w:style w:type="paragraph" w:customStyle="1" w:styleId="Heading">
    <w:name w:val="Heading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Absatz">
    <w:name w:val="Absatz"/>
    <w:basedOn w:val="Standard"/>
    <w:pPr>
      <w:spacing w:after="240" w:line="360" w:lineRule="atLeast"/>
      <w:jc w:val="both"/>
    </w:pPr>
  </w:style>
  <w:style w:type="paragraph" w:customStyle="1" w:styleId="Absatzlb">
    <w:name w:val="Absatz lb"/>
    <w:basedOn w:val="Absatz"/>
    <w:pPr>
      <w:jc w:val="left"/>
    </w:pPr>
  </w:style>
  <w:style w:type="paragraph" w:customStyle="1" w:styleId="Absender">
    <w:name w:val="Absender"/>
    <w:basedOn w:val="Absatz"/>
    <w:pPr>
      <w:spacing w:after="1310"/>
      <w:jc w:val="left"/>
    </w:pPr>
    <w:rPr>
      <w:b/>
    </w:rPr>
  </w:style>
  <w:style w:type="paragraph" w:customStyle="1" w:styleId="Anschrift">
    <w:name w:val="Anschrift"/>
    <w:basedOn w:val="Absatz"/>
    <w:pPr>
      <w:spacing w:after="120" w:line="240" w:lineRule="atLeast"/>
      <w:jc w:val="left"/>
    </w:pPr>
  </w:style>
  <w:style w:type="paragraph" w:customStyle="1" w:styleId="Bild">
    <w:name w:val="Bild"/>
    <w:basedOn w:val="Standard"/>
    <w:next w:val="Absatz"/>
    <w:pPr>
      <w:keepLines/>
      <w:spacing w:before="120" w:after="240"/>
      <w:jc w:val="center"/>
    </w:pPr>
  </w:style>
  <w:style w:type="paragraph" w:customStyle="1" w:styleId="Datum1">
    <w:name w:val="Datum1"/>
    <w:basedOn w:val="Absatz"/>
    <w:pPr>
      <w:jc w:val="right"/>
    </w:pPr>
  </w:style>
  <w:style w:type="paragraph" w:customStyle="1" w:styleId="Formel">
    <w:name w:val="Formel"/>
    <w:basedOn w:val="Absatz"/>
    <w:pPr>
      <w:tabs>
        <w:tab w:val="right" w:pos="7938"/>
      </w:tabs>
      <w:ind w:left="284"/>
      <w:jc w:val="left"/>
    </w:pPr>
  </w:style>
  <w:style w:type="paragraph" w:customStyle="1" w:styleId="TabelleFeldDezimaltab">
    <w:name w:val="Tabelle Feld Dezimaltab."/>
    <w:basedOn w:val="Standard"/>
    <w:pPr>
      <w:keepLines/>
      <w:tabs>
        <w:tab w:val="decimal" w:pos="1020"/>
      </w:tabs>
      <w:spacing w:before="120" w:after="120" w:line="240" w:lineRule="atLeast"/>
    </w:pPr>
  </w:style>
  <w:style w:type="paragraph" w:customStyle="1" w:styleId="TabelleFeldlbeng">
    <w:name w:val="Tabelle Feld lb eng"/>
    <w:basedOn w:val="Standard"/>
    <w:pPr>
      <w:keepNext/>
      <w:keepLines/>
      <w:spacing w:before="40" w:after="40" w:line="60" w:lineRule="atLeast"/>
    </w:pPr>
  </w:style>
  <w:style w:type="paragraph" w:customStyle="1" w:styleId="berschriftnichtimVerzeichnis">
    <w:name w:val="Überschrift nicht im Verzeichnis"/>
    <w:basedOn w:val="berschrift1"/>
    <w:pPr>
      <w:numPr>
        <w:numId w:val="0"/>
      </w:numPr>
    </w:pPr>
  </w:style>
  <w:style w:type="paragraph" w:customStyle="1" w:styleId="Titelseite">
    <w:name w:val="Titelseite"/>
    <w:basedOn w:val="berschriftnichtimVerzeichnis"/>
    <w:pPr>
      <w:spacing w:before="2830" w:after="1700"/>
    </w:pPr>
  </w:style>
  <w:style w:type="paragraph" w:customStyle="1" w:styleId="berschriftGrundformat">
    <w:name w:val="Überschrift Grundformat"/>
    <w:basedOn w:val="Standard"/>
    <w:pPr>
      <w:keepNext/>
      <w:spacing w:before="240"/>
    </w:pPr>
    <w:rPr>
      <w:b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customStyle="1" w:styleId="FarbigeListe-Akzent11">
    <w:name w:val="Farbige Liste - Akzent 11"/>
    <w:basedOn w:val="Standard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3A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Möbius</dc:creator>
  <cp:keywords/>
  <dc:description/>
  <cp:lastModifiedBy>Clemens Czurda</cp:lastModifiedBy>
  <cp:revision>8</cp:revision>
  <cp:lastPrinted>2009-11-15T09:54:00Z</cp:lastPrinted>
  <dcterms:created xsi:type="dcterms:W3CDTF">2022-05-29T10:54:00Z</dcterms:created>
  <dcterms:modified xsi:type="dcterms:W3CDTF">2023-05-14T16:15:00Z</dcterms:modified>
</cp:coreProperties>
</file>